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b/>
          <w:color w:val="604050"/>
          <w:sz w:val="32"/>
          <w:szCs w:val="32"/>
          <w:lang w:eastAsia="ru-RU"/>
        </w:rPr>
      </w:pP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b/>
          <w:color w:val="604050"/>
          <w:sz w:val="32"/>
          <w:szCs w:val="32"/>
          <w:lang w:eastAsia="ru-RU"/>
        </w:rPr>
      </w:pPr>
      <w:r w:rsidRPr="00A543D0">
        <w:rPr>
          <w:rFonts w:ascii="Times New Roman" w:eastAsia="Times New Roman" w:hAnsi="Times New Roman" w:cs="Times New Roman"/>
          <w:b/>
          <w:color w:val="604050"/>
          <w:sz w:val="32"/>
          <w:szCs w:val="32"/>
          <w:lang w:eastAsia="ru-RU"/>
        </w:rPr>
        <w:t>ОБЗОР ЛИТЕРАТУРЫ 30х</w:t>
      </w:r>
      <w:proofErr w:type="gramStart"/>
      <w:r w:rsidRPr="00A543D0">
        <w:rPr>
          <w:rFonts w:ascii="Times New Roman" w:eastAsia="Times New Roman" w:hAnsi="Times New Roman" w:cs="Times New Roman"/>
          <w:b/>
          <w:color w:val="604050"/>
          <w:sz w:val="32"/>
          <w:szCs w:val="32"/>
          <w:lang w:eastAsia="ru-RU"/>
        </w:rPr>
        <w:t>.н</w:t>
      </w:r>
      <w:proofErr w:type="gramEnd"/>
      <w:r w:rsidRPr="00A543D0">
        <w:rPr>
          <w:rFonts w:ascii="Times New Roman" w:eastAsia="Times New Roman" w:hAnsi="Times New Roman" w:cs="Times New Roman"/>
          <w:b/>
          <w:color w:val="604050"/>
          <w:sz w:val="32"/>
          <w:szCs w:val="32"/>
          <w:lang w:eastAsia="ru-RU"/>
        </w:rPr>
        <w:t>ач.40х годов.</w:t>
      </w:r>
    </w:p>
    <w:p w:rsid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Духовная атмосфера десятилетия и ее отражение в литературе и искусстве. Сложное 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единство оптимизма и горечи, идеализма и страха, возвышения человека труда и бюрократизации власти.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Рождение новой песенно-лирической ситуации. Героини стихотворений П. Васильева и М. Исаковского (символический образ России — Родины). Лирика Б. Корнилова, </w:t>
      </w: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Дм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. </w:t>
      </w: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Кедрина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, М. Светлова, А. Жарова и др.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proofErr w:type="gram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Литература на стройке: произведения 30-х годов о людях труда («Энергия» Ф. Гладкова, «</w:t>
      </w: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Соть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» Л. Леонова, «Гидроцентраль» М. Шагинян, «Время, вперед!»</w:t>
      </w:r>
      <w:proofErr w:type="gram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</w:t>
      </w:r>
      <w:proofErr w:type="gram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В. Катаева, «Люди из захолустья» А. Малышкина и др.).</w:t>
      </w:r>
      <w:proofErr w:type="gram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Человеческий и творческий подвиг Н. Островского. Уникальность и полемическая заостренность образа Павла Корчагина в романе «Как закалялась сталь».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Тема коллективизации в литературе. Трагическая судьба Н. Клюева и поэтов «</w:t>
      </w:r>
      <w:proofErr w:type="gram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крестьянской</w:t>
      </w:r>
      <w:proofErr w:type="gram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</w:t>
      </w: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купницы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». Поэма А. Твардовского «Страна </w:t>
      </w: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Муравия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» и роман М. Шолохова «Поднятая целина».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Первый съезд Союза писателей СССР и его общественно-историческое значение.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Эмигрантская «ветвь» русской литературы в 30-е годы. Ностальгический реализм И. Бунина, Б. Зайцева, И. Шмелева. «Парижская нота» русской поэзии 30-х годов. Лирика Г. Иванова, Б. Поплавского, Н. Оцуп</w:t>
      </w:r>
      <w:r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а, Д. Кнута, Л. </w:t>
      </w:r>
      <w:proofErr w:type="spellStart"/>
      <w:r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Червинской</w:t>
      </w:r>
      <w:proofErr w:type="spellEnd"/>
      <w:r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и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др</w:t>
      </w:r>
      <w:proofErr w:type="spellEnd"/>
      <w:proofErr w:type="gramEnd"/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b/>
          <w:bCs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b/>
          <w:bCs/>
          <w:color w:val="604050"/>
          <w:sz w:val="24"/>
          <w:szCs w:val="24"/>
          <w:lang w:eastAsia="ru-RU"/>
        </w:rPr>
        <w:t>А.Н. Толстой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Рассказ «Лень Петра», роман «Петр Первый». Попытки художественно осмыслить личность царя-реформатора в ранней прозе А. Толстого («День Петра»). Углубление образа Петра в «романном» освоении темы. Основные этапы становления исторической личности, черты национального характера в образе Петра. Образы сподвижников царя и противников петровских преобразований. Проблемы народа и власти, личности и истории в художественной концепции автора. Жанровое, композиционное и стилистико-языковое своеобразие романа.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Опорные понятия: историко-биографическое повествование; собирательный образ эпохи.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Внутрипредметные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связи: «петровская» тема в произведениях М.В. Ломоносова, А.С. Пушкина, А.К. Толстого, А.А. Блока.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Межпредметные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связи: исторические источники романа «Петр Первый» (труды Н. Устрялова, С. Соловьева и др.).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Для самостоятельного чтения: трилогия «Хождение по мукам».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b/>
          <w:bCs/>
          <w:color w:val="604050"/>
          <w:sz w:val="24"/>
          <w:szCs w:val="24"/>
          <w:lang w:eastAsia="ru-RU"/>
        </w:rPr>
        <w:t>М.А. Шолохов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Роман-эпопея «Тихий Дон». Историческая широта и масштабность шолоховского эпоса. «Донские рассказы» как пролог «Тихого Дона». Картины жизни донского казачества в романе. Изображение революции и Гражданской войны как общенародной трагедии. Идея Дома и святости семейного очага в романе. Роль и значение женских образов в художественной системе романа. Сложность, противоречивость пути «казачьего Гамлета» Григория Мелехова, отражение в нем традиций народного правдоискательства. Художественно-стилистическое своеобразие «Тихого Дона». </w:t>
      </w:r>
      <w:proofErr w:type="gram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Исторически-конкретное</w:t>
      </w:r>
      <w:proofErr w:type="gram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и вневременное в проблематике шолоховского романа-эпопеи.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Опорные понятия: </w:t>
      </w: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хронотоп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романа-эпопеи; гуманистическая концепция истории в литературе.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lastRenderedPageBreak/>
        <w:t>Внутрипредметные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связи: продолжение традиций толстовского эпоса в «Тихом Доне» («мысль народная» и «мысль семейная»); шолоховский эпос в контексте произведений о Гражданской войне (А. Фадеев, И. Бабель, М. Булгаков).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proofErr w:type="spellStart"/>
      <w:proofErr w:type="gram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Межпредметные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связи: исторические источники романа «Тихий Дон» (труды В. Владимировой, А. Френкеля, М. </w:t>
      </w: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Корчина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и др.); «Тихий Дон» в иллюстрациях художников (С. Корольков, О. </w:t>
      </w: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Верейский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, Ю. Ребров) и киноверсиях (к/ф </w:t>
      </w: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реж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.</w:t>
      </w:r>
      <w:proofErr w:type="gram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И. </w:t>
      </w: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Правова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и О. Преображенской (1931), С. Герасимова (1958).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Для самостоятельного чтения: рассказы «Лазоревая степь», «</w:t>
      </w: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Шибалково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семя», «Родинка».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У литературной карты России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Обзор творчества Б.В. Шергина, А.А. Прокофьева, С.Н. Маркова — по выбору. Мастерство воссоздания характеров русских землепроходцев в творчестве С. Маркова. Духовное наследие русского песенного Севера в произведениях Б. Шергина. Поэтический облик России в лирике А. Прокофьева.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b/>
          <w:bCs/>
          <w:color w:val="604050"/>
          <w:sz w:val="24"/>
          <w:szCs w:val="24"/>
          <w:lang w:eastAsia="ru-RU"/>
        </w:rPr>
        <w:t>М.А. Булгаков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Роман «Мастер и Маргарита» как «роман-лабиринт» со сложной философской проблематикой. Взаимодействие трех </w:t>
      </w: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повествонательных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пластов в образно-композиционной системе романа. Нравственно-философское звучание «</w:t>
      </w: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ершалаимских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» глав. Сатирическая «</w:t>
      </w: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дьяволиада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» М.А. Булгакова в романе. Неразрывность связи любви и творчества в проблематике «Мастера и Маргариты». Путь Ивана Бездомного в обретении Родины.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Опорные понятия: «исторический пейзаж»; карнавальный смех; очерк нравов.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Внутрипредметные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связи: евангельские мотивы в прозе М. Булгакова; традиции мировой литературы в «Мастере и Маргарите» (И.В. Гёте, Э.Т.А. Гофман, Н.В. Гоголь).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Межпредметные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связи: М. Булгаков и театр; сценические и </w:t>
      </w: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киноинтерпретации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произведений М. Булгакова; музыкальные реминисценции в </w:t>
      </w: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булгаковской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прозе.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Для самостоятельного чтения: рассказ «Красная корона», повесть «Собачье сердце», пьесы «Бег», «Дни </w:t>
      </w: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Турбиных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».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b/>
          <w:bCs/>
          <w:color w:val="604050"/>
          <w:sz w:val="24"/>
          <w:szCs w:val="24"/>
          <w:lang w:eastAsia="ru-RU"/>
        </w:rPr>
        <w:t>Б.Л. Пастернак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Стихотворения «Февраль. Достать чернил и плакать!..», «Снег идет», «Плачущий сад», «В больнице», «Зимняя ночь», «Гамлет», «Во всем мне хочется дойти до самой сути...», «Определение поэзии», «Гефсиманский сад» и др. по выбору. Единство человеческой души и стихии мира в лирике Б.Л. Пастернака. Неразрывность связи человека и природы, их </w:t>
      </w: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взаимотворчество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. Любовь и поэзия, жизнь и смерть в философской концепции Б.Л. Пастернака. Трагизм гамлетовского противостояния художника и эпохи в позднем творчестве поэта. Метафорическое богатство и образная яркость лирики Б.Л. Пастернака.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Роман «Доктор Живаго ». Черты нового лирико-религиозного повествования в романе Б.Л. Пастернака. Фигура Юрия Живаго и проблема интеллигенции и революции в романе. Нравственные искания героя, его отношение к революционной доктрине «переделки жизни». «Стихотворения Юрия Живаго» как финальный лирический аккорд повествования.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Опорные понятия: метафорический ряд; лирико-религиозная проза.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Внутрипредметные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связи: Б. Пастернак и поэзия русского футуризма; евангельская и шекспировская темы в лирике и прозе поэта; Б. Пастернак и В. Маяковский.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Межпредметные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связи: рисунки Л.О. Пастернака; музыкальные образы Ф. Шопена в лирике Б. Пастернака.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lastRenderedPageBreak/>
        <w:t>Для самостоятельного чтения: циклы «Сестра моя — жизнь », «Когда разгуляется», поэма «Девятьсот пятый год».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b/>
          <w:bCs/>
          <w:color w:val="604050"/>
          <w:sz w:val="24"/>
          <w:szCs w:val="24"/>
          <w:lang w:eastAsia="ru-RU"/>
        </w:rPr>
        <w:t>А.П. Платонов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proofErr w:type="gram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Рассказы «Возвращение», «Июльская гроза», «</w:t>
      </w: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Фро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», повести «Сокровенный человек», «Котлован» — по выбору.</w:t>
      </w:r>
      <w:proofErr w:type="gram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Оригинальность, самобытность художественного мира А.П. Платонова. Тип платоновского героя — мечтателя, романтика, правдоискателя. «Детскость» стиля и языка писателя, тема детства в прозе А.П. Платонова. Соотношение «задумчивого» авторского героя с революционной доктриной «всеобщего счастья». Смысл трагического финала повести «Котлован», философская многозначность ее названия. Роль «ключевых» слов-понятий в художественной системе писателя.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Опорные понятия: индивидуализированный стиль писателя; литературная антиутопия.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Внутрипредметные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связи: жанр антиутопии в творчестве А. Платонова и Е. Замятина. Шариков А.П. Платонова и Шариков М.А. Булгакова («Сокровенный человек» — «Собачье сердце»).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Межпредметные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связи: проза А. Платонова и живопись П. </w:t>
      </w: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Филонова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Для самостоятельного чтения: рассказы «Родина электричества », «Старый механик », повесть «</w:t>
      </w: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Джан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».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 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b/>
          <w:bCs/>
          <w:color w:val="604050"/>
          <w:sz w:val="24"/>
          <w:szCs w:val="24"/>
          <w:lang w:eastAsia="ru-RU"/>
        </w:rPr>
        <w:t>В.В. Набоков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Роман «Машенька». Драматизм эмигрантского небытия героев «Машеньки». Образ Ганина и тип «героя компромисса». Своеобразие сюжетно-временной организации повествования. Черты чеховских «</w:t>
      </w:r>
      <w:proofErr w:type="gram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недотеп</w:t>
      </w:r>
      <w:proofErr w:type="gram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» в обывателях пансиона фрау Дорн. Словесная пластика Набокова в раскрытии внутренней жизни героев и описании «вещного» быта. Горько-ироническое звучание финала романа.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Опорные понятия: элитарная проза; литературное двуязычие.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Внутрипредметные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связи: пушкинские реминисценции и романе «Машенька»; В. Набоков и </w:t>
      </w: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И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. Бунин.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Межпредметные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связи: литературное двуязычие в творчестве В. Набокова; размышления писателя о художественном значении русского языка.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Для самостоятельного чтения: рассказ «Облако, озеро, башня», роман «Защита Лужина».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 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b/>
          <w:bCs/>
          <w:color w:val="604050"/>
          <w:sz w:val="24"/>
          <w:szCs w:val="24"/>
          <w:lang w:eastAsia="ru-RU"/>
        </w:rPr>
        <w:t>Литература периода Великой Отечественной войны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Отражение летописи военных лет в произведениях русских писателей. Публицистика времен войны (А. Толстой, И. Эренбург, Л. Леонов, О. </w:t>
      </w: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Берггольц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, Ю. </w:t>
      </w: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Гроссман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и др.).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Лирика военных лет. Песенная поэзия В. Лебедева-Кумача, М. Исаковского, Л. </w:t>
      </w: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Ошанина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, Е. </w:t>
      </w: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Долматовского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, А. Суркова, А. Фатьянова.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Жанр поэмы в литературной летописи войны («Зоя» М. </w:t>
      </w: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Алигер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, «Сын» П. </w:t>
      </w: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Антокольского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, «Двадцать восемь» М. Светлова и др.). Поэма А. Твардовского «Василий Теркин» как вершинное произведение времен войны. Прославление подвига народа и русского солдата в «</w:t>
      </w:r>
      <w:proofErr w:type="gram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Книге про бойца</w:t>
      </w:r>
      <w:proofErr w:type="gram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».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Проза о войне. </w:t>
      </w:r>
      <w:proofErr w:type="gram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«Дни и ночи» К. Симонова, «Звезда» Э. Казакевича, «Спутники» В. Пановой, «Молодая гвардия» А. Фадеева, «Повесть о настоящем человеке» Б. Полевого, «В окопах Сталинграда» В. Некрасова и др.</w:t>
      </w:r>
      <w:proofErr w:type="gramEnd"/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 </w:t>
      </w:r>
    </w:p>
    <w:p w:rsidR="004801F2" w:rsidRDefault="004801F2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b/>
          <w:bCs/>
          <w:color w:val="604050"/>
          <w:sz w:val="24"/>
          <w:szCs w:val="24"/>
          <w:lang w:eastAsia="ru-RU"/>
        </w:rPr>
      </w:pPr>
    </w:p>
    <w:p w:rsidR="004801F2" w:rsidRDefault="004801F2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b/>
          <w:bCs/>
          <w:color w:val="604050"/>
          <w:sz w:val="24"/>
          <w:szCs w:val="24"/>
          <w:lang w:eastAsia="ru-RU"/>
        </w:rPr>
      </w:pPr>
    </w:p>
    <w:p w:rsidR="004801F2" w:rsidRDefault="004801F2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b/>
          <w:bCs/>
          <w:color w:val="604050"/>
          <w:sz w:val="24"/>
          <w:szCs w:val="24"/>
          <w:lang w:eastAsia="ru-RU"/>
        </w:rPr>
      </w:pP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bookmarkStart w:id="0" w:name="_GoBack"/>
      <w:bookmarkEnd w:id="0"/>
      <w:r w:rsidRPr="00A543D0">
        <w:rPr>
          <w:rFonts w:ascii="Times New Roman" w:eastAsia="Times New Roman" w:hAnsi="Times New Roman" w:cs="Times New Roman"/>
          <w:b/>
          <w:bCs/>
          <w:color w:val="604050"/>
          <w:sz w:val="24"/>
          <w:szCs w:val="24"/>
          <w:lang w:eastAsia="ru-RU"/>
        </w:rPr>
        <w:t>А.Т. Твардовский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proofErr w:type="gram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Стихотворения «Вся суть в одном-единственном завете...», «О сущем», «Дробится рваный цоколь монумента...», «Я знаю, никакой моей вины...», «Памяти матери», «Я сам дознаюсь, доищусь...», «В чем хочешь человечество вини..» и др. по выбору.</w:t>
      </w:r>
      <w:proofErr w:type="gram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Доверительность и теплота лирической интонации А. Твардовского. Любовь к «правде сущей» как основной мотив «лирического эпоса» художника. Память войны, тема нравственных испытаний на дорогах истории в произведениях разных лет. Философская проблематика поздней лирики поэта.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Поэма «По праву памяти». «По праву памяти» как поэма-исповедь, поэма-завещание. Тема прошлого, настоящего и будущего в свете исторической памяти, уроков пережитого. Гражданственность и нравственная высота позиции автора.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Опорные понятия: лирико-патриотический пафос; лирический эпос.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Внутрипредметные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связи: И.А. Бунин о поэме «Василий Теркин»; некрасовские традиции в лирике А. Твардовского.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proofErr w:type="spellStart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Межпредметные</w:t>
      </w:r>
      <w:proofErr w:type="spellEnd"/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 xml:space="preserve"> связи: литературная деятельность А. Твардовского в журнале «Новый мир»: документы, свидетельства, воспоминания.</w:t>
      </w:r>
    </w:p>
    <w:p w:rsidR="00A543D0" w:rsidRPr="00A543D0" w:rsidRDefault="00A543D0" w:rsidP="00A543D0">
      <w:pPr>
        <w:shd w:val="clear" w:color="auto" w:fill="FFFFFF"/>
        <w:spacing w:before="60" w:after="60" w:line="240" w:lineRule="auto"/>
        <w:ind w:left="240" w:right="75"/>
        <w:jc w:val="both"/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</w:pPr>
      <w:r w:rsidRPr="00A543D0">
        <w:rPr>
          <w:rFonts w:ascii="Times New Roman" w:eastAsia="Times New Roman" w:hAnsi="Times New Roman" w:cs="Times New Roman"/>
          <w:color w:val="604050"/>
          <w:sz w:val="24"/>
          <w:szCs w:val="24"/>
          <w:lang w:eastAsia="ru-RU"/>
        </w:rPr>
        <w:t>Для самостоятельного чтения: стихотворения «Жестокая память», «Как после мартовских метелей...», «Полночь в мое городское окно...», поэмы «Дом у дороги», «За далью — даль».</w:t>
      </w:r>
    </w:p>
    <w:p w:rsidR="007C6A41" w:rsidRPr="00A543D0" w:rsidRDefault="007C6A41" w:rsidP="00A543D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C6A41" w:rsidRPr="00A54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3D0"/>
    <w:rsid w:val="004801F2"/>
    <w:rsid w:val="007C6A41"/>
    <w:rsid w:val="00A54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2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1453</Words>
  <Characters>8284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Izbnet</dc:creator>
  <cp:lastModifiedBy>Izbnet</cp:lastModifiedBy>
  <cp:revision>1</cp:revision>
  <dcterms:created xsi:type="dcterms:W3CDTF">2020-05-20T12:21:00Z</dcterms:created>
  <dcterms:modified xsi:type="dcterms:W3CDTF">2020-05-20T12:33:00Z</dcterms:modified>
</cp:coreProperties>
</file>